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113" w:rsidRDefault="00053704" w:rsidP="00056113">
      <w:r w:rsidRPr="008F73A8">
        <w:rPr>
          <w:b/>
          <w:noProof/>
          <w:sz w:val="40"/>
          <w:u w:val="single"/>
        </w:rPr>
        <mc:AlternateContent>
          <mc:Choice Requires="wps">
            <w:drawing>
              <wp:anchor distT="45720" distB="45720" distL="114300" distR="114300" simplePos="0" relativeHeight="251659264" behindDoc="0" locked="0" layoutInCell="1" allowOverlap="1">
                <wp:simplePos x="0" y="0"/>
                <wp:positionH relativeFrom="margin">
                  <wp:posOffset>-23495</wp:posOffset>
                </wp:positionH>
                <wp:positionV relativeFrom="paragraph">
                  <wp:posOffset>8255</wp:posOffset>
                </wp:positionV>
                <wp:extent cx="3619500" cy="984250"/>
                <wp:effectExtent l="0" t="0" r="0" b="63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984250"/>
                        </a:xfrm>
                        <a:prstGeom prst="rect">
                          <a:avLst/>
                        </a:prstGeom>
                        <a:solidFill>
                          <a:srgbClr val="FFFFFF"/>
                        </a:solidFill>
                        <a:ln w="9525">
                          <a:noFill/>
                          <a:miter lim="800000"/>
                          <a:headEnd/>
                          <a:tailEnd/>
                        </a:ln>
                      </wps:spPr>
                      <wps:txbx>
                        <w:txbxContent>
                          <w:p w:rsidR="008F73A8" w:rsidRDefault="008F73A8">
                            <w:pPr>
                              <w:rPr>
                                <w:b/>
                                <w:sz w:val="40"/>
                                <w:u w:val="single"/>
                              </w:rPr>
                            </w:pPr>
                          </w:p>
                          <w:p w:rsidR="008F73A8" w:rsidRPr="00056113" w:rsidRDefault="008F73A8">
                            <w:pPr>
                              <w:rPr>
                                <w:sz w:val="20"/>
                              </w:rPr>
                            </w:pPr>
                            <w:r w:rsidRPr="00056113">
                              <w:rPr>
                                <w:b/>
                                <w:sz w:val="36"/>
                                <w:u w:val="single"/>
                              </w:rPr>
                              <w:t xml:space="preserve">Gedragscode TVC </w:t>
                            </w:r>
                            <w:r w:rsidR="00056113" w:rsidRPr="00056113">
                              <w:rPr>
                                <w:b/>
                                <w:sz w:val="36"/>
                                <w:u w:val="single"/>
                              </w:rPr>
                              <w:t>Bestuursleden</w:t>
                            </w:r>
                            <w:r w:rsidRPr="00056113">
                              <w:rPr>
                                <w:sz w:val="36"/>
                              </w:rPr>
                              <w:t xml:space="preserve">      </w:t>
                            </w:r>
                            <w:r w:rsidRPr="00056113">
                              <w:rPr>
                                <w:noProof/>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1.85pt;margin-top:.65pt;width:285pt;height: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" stroked="f">
                <v:textbox>
                  <w:txbxContent>
                    <w:p w:rsidR="008F73A8" w:rsidRDefault="008F73A8">
                      <w:pPr>
                        <w:rPr>
                          <w:b/>
                          <w:sz w:val="40"/>
                          <w:u w:val="single"/>
                        </w:rPr>
                      </w:pPr>
                    </w:p>
                    <w:p w:rsidR="008F73A8" w:rsidRPr="00056113" w:rsidRDefault="008F73A8">
                      <w:pPr>
                        <w:rPr>
                          <w:sz w:val="20"/>
                        </w:rPr>
                      </w:pPr>
                      <w:r w:rsidRPr="00056113">
                        <w:rPr>
                          <w:b/>
                          <w:sz w:val="36"/>
                          <w:u w:val="single"/>
                        </w:rPr>
                        <w:t xml:space="preserve">Gedragscode TVC </w:t>
                      </w:r>
                      <w:r w:rsidR="00056113" w:rsidRPr="00056113">
                        <w:rPr>
                          <w:b/>
                          <w:sz w:val="36"/>
                          <w:u w:val="single"/>
                        </w:rPr>
                        <w:t>Bestuursleden</w:t>
                      </w:r>
                      <w:r w:rsidRPr="00056113">
                        <w:rPr>
                          <w:sz w:val="36"/>
                        </w:rPr>
                        <w:t xml:space="preserve">      </w:t>
                      </w:r>
                      <w:r w:rsidRPr="00056113">
                        <w:rPr>
                          <w:noProof/>
                          <w:sz w:val="20"/>
                        </w:rPr>
                        <w:t xml:space="preserve">             </w:t>
                      </w:r>
                    </w:p>
                  </w:txbxContent>
                </v:textbox>
                <w10:wrap type="square" anchorx="margin"/>
              </v:shape>
            </w:pict>
          </mc:Fallback>
        </mc:AlternateContent>
      </w:r>
      <w:r w:rsidR="008F73A8">
        <w:rPr>
          <w:noProof/>
        </w:rPr>
        <w:t xml:space="preserve">                  </w:t>
      </w:r>
      <w:r w:rsidR="008F73A8" w:rsidRPr="008F73A8">
        <w:rPr>
          <w:sz w:val="40"/>
        </w:rPr>
        <w:t xml:space="preserve"> </w:t>
      </w:r>
      <w:r w:rsidR="00056113">
        <w:rPr>
          <w:noProof/>
        </w:rPr>
        <w:drawing>
          <wp:inline distT="0" distB="0" distL="0" distR="0" wp14:anchorId="648EFB97" wp14:editId="5C56BDA0">
            <wp:extent cx="1917700" cy="887824"/>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vc.gif"/>
                    <pic:cNvPicPr/>
                  </pic:nvPicPr>
                  <pic:blipFill>
                    <a:blip r:embed="rId4">
                      <a:extLst>
                        <a:ext uri="{28A0092B-C50C-407E-A947-70E740481C1C}">
                          <a14:useLocalDpi xmlns:a14="http://schemas.microsoft.com/office/drawing/2010/main" val="0"/>
                        </a:ext>
                      </a:extLst>
                    </a:blip>
                    <a:stretch>
                      <a:fillRect/>
                    </a:stretch>
                  </pic:blipFill>
                  <pic:spPr>
                    <a:xfrm>
                      <a:off x="0" y="0"/>
                      <a:ext cx="1924289" cy="890874"/>
                    </a:xfrm>
                    <a:prstGeom prst="rect">
                      <a:avLst/>
                    </a:prstGeom>
                  </pic:spPr>
                </pic:pic>
              </a:graphicData>
            </a:graphic>
          </wp:inline>
        </w:drawing>
      </w:r>
      <w:r w:rsidR="008F73A8" w:rsidRPr="008F73A8">
        <w:rPr>
          <w:sz w:val="40"/>
        </w:rPr>
        <w:t xml:space="preserve">                        </w:t>
      </w:r>
      <w:r w:rsidR="00056113" w:rsidRPr="008F73A8">
        <w:t xml:space="preserve"> </w:t>
      </w:r>
    </w:p>
    <w:p w:rsidR="00056113" w:rsidRDefault="00056113" w:rsidP="00056113">
      <w:r w:rsidRPr="008F73A8">
        <w:t xml:space="preserve">Een (club)bestuurder, bondsraadslid, werknemer of andere functionaris: </w:t>
      </w:r>
    </w:p>
    <w:p w:rsidR="00056113" w:rsidRDefault="00056113" w:rsidP="00056113">
      <w:r w:rsidRPr="008F73A8">
        <w:t xml:space="preserve">1. zorgt voor een veilige omgeving; </w:t>
      </w:r>
    </w:p>
    <w:p w:rsidR="00056113" w:rsidRDefault="00056113" w:rsidP="00056113">
      <w:r w:rsidRPr="008F73A8">
        <w:t xml:space="preserve">2. handelt in het belang van de club of andere rechtspersoon en richt zich op het belang van de leden, en/of aangeslotenen; </w:t>
      </w:r>
    </w:p>
    <w:p w:rsidR="00056113" w:rsidRDefault="00056113" w:rsidP="00056113">
      <w:r w:rsidRPr="008F73A8">
        <w:t xml:space="preserve">3. handelt zo transparant mogelijk, zodat het eenvoudig is om verantwoording af te leggen en inzicht bestaat in het handelen en de beweegredenen; </w:t>
      </w:r>
    </w:p>
    <w:p w:rsidR="00056113" w:rsidRDefault="00056113" w:rsidP="00056113">
      <w:r w:rsidRPr="008F73A8">
        <w:t xml:space="preserve">4. handelt met respect en stelt gelijke behandeling voorop. Belangen worden op een correcte wijze gewogen; </w:t>
      </w:r>
    </w:p>
    <w:p w:rsidR="00056113" w:rsidRDefault="00056113" w:rsidP="00056113">
      <w:r w:rsidRPr="008F73A8">
        <w:t xml:space="preserve">5. vervult geen nevenfuncties die in strijd zijn, of kunnen zijn met de functie en heeft geen financieel belang dat in strijd is c.q. kan zijn met de functie; </w:t>
      </w:r>
    </w:p>
    <w:p w:rsidR="00056113" w:rsidRDefault="00056113" w:rsidP="00056113">
      <w:r w:rsidRPr="008F73A8">
        <w:t xml:space="preserve">6. gedraagt zich hoffelijk en respectvol, onthoudt zich van grievende en/of beledigende opmerkingen; </w:t>
      </w:r>
    </w:p>
    <w:p w:rsidR="00056113" w:rsidRDefault="00056113" w:rsidP="00056113">
      <w:r w:rsidRPr="008F73A8">
        <w:t xml:space="preserve">7. tast niemand in zijn waarde aan. Pest niet. Onthoudt zich van discriminerende, kleinerende of intimiderende opmerkingen en gedragingen. Sluit niemand buiten en is tolerant; </w:t>
      </w:r>
    </w:p>
    <w:p w:rsidR="00056113" w:rsidRDefault="00056113" w:rsidP="00056113">
      <w:r w:rsidRPr="008F73A8">
        <w:t xml:space="preserve">8. neemt (meldingen van) onbehoorlijk en/of grensoverschrijdend gedrag serieus. </w:t>
      </w:r>
    </w:p>
    <w:p w:rsidR="00056113" w:rsidRDefault="00056113" w:rsidP="00056113">
      <w:r w:rsidRPr="008F73A8">
        <w:t xml:space="preserve">9. meldt overtredingen van deze gedragsregels bij het bestuur en/of de VCP van de club. Kan voor vragen en meldingen ook terecht bij de VCP van de KNGU dan wel het CVSN. Zijn bepaalde feiten vertrouwelijk gedeeld, dan schendt hij dit vertrouwen niet. Wanneer echter de HUISHOUDELIJK REGLEMENT Goedgekeurd door de Bondsraad op 13-05-2024 HR7-8 belangen van een lid ernstig in het geding zijn, raadpleegt hij een derde via bijvoorbeeld het CVSN; </w:t>
      </w:r>
    </w:p>
    <w:p w:rsidR="00056113" w:rsidRDefault="00056113" w:rsidP="00056113">
      <w:r w:rsidRPr="008F73A8">
        <w:t xml:space="preserve">10. spant zich in om in zee te gaan met integere werknemers, functionarissen, ondernemers, zaakwaarnemers, leveranciers, sponsors en anderen. </w:t>
      </w:r>
    </w:p>
    <w:p w:rsidR="00056113" w:rsidRPr="00056113" w:rsidRDefault="00056113" w:rsidP="00056113">
      <w:pPr>
        <w:rPr>
          <w:b/>
        </w:rPr>
      </w:pPr>
      <w:r w:rsidRPr="00056113">
        <w:rPr>
          <w:b/>
          <w:sz w:val="24"/>
        </w:rPr>
        <w:t xml:space="preserve">De Code Goed Sportbestuur kan hierbij in zekere maat worden gebruikt als voorbeelddocument; </w:t>
      </w:r>
    </w:p>
    <w:p w:rsidR="00056113" w:rsidRPr="00056113" w:rsidRDefault="00056113" w:rsidP="00056113">
      <w:pPr>
        <w:rPr>
          <w:sz w:val="40"/>
        </w:rPr>
      </w:pPr>
      <w:r w:rsidRPr="008F73A8">
        <w:t xml:space="preserve">11. drinkt geen alcohol tijdens het uitoefenen van zijn/haar functie als (club)bestuurder, bondsraadslid, werknemer of andere functionaris. </w:t>
      </w:r>
      <w:bookmarkStart w:id="0" w:name="_GoBack"/>
      <w:bookmarkEnd w:id="0"/>
    </w:p>
    <w:p w:rsidR="00056113" w:rsidRDefault="00056113" w:rsidP="00056113"/>
    <w:p w:rsidR="00056113" w:rsidRPr="008F73A8" w:rsidRDefault="00056113" w:rsidP="00056113">
      <w:pPr>
        <w:rPr>
          <w:sz w:val="24"/>
        </w:rPr>
      </w:pPr>
    </w:p>
    <w:p w:rsidR="008F73A8" w:rsidRPr="008F73A8" w:rsidRDefault="008F73A8">
      <w:pPr>
        <w:rPr>
          <w:sz w:val="24"/>
        </w:rPr>
      </w:pPr>
    </w:p>
    <w:sectPr w:rsidR="008F73A8" w:rsidRPr="008F73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A8"/>
    <w:rsid w:val="00053704"/>
    <w:rsid w:val="00056113"/>
    <w:rsid w:val="00236C3B"/>
    <w:rsid w:val="00644907"/>
    <w:rsid w:val="008F73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41A3"/>
  <w15:chartTrackingRefBased/>
  <w15:docId w15:val="{4AE064CA-C5F6-4582-B4F5-9024D393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1592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2</cp:revision>
  <dcterms:created xsi:type="dcterms:W3CDTF">2025-02-28T10:48:00Z</dcterms:created>
  <dcterms:modified xsi:type="dcterms:W3CDTF">2025-02-28T10:48:00Z</dcterms:modified>
</cp:coreProperties>
</file>